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eastAsia="Times New Roman"/>
          <w:b/>
          <w:bCs/>
        </w:rPr>
      </w:pPr>
      <w:r>
        <w:rPr>
          <w:rFonts w:eastAsia="Times New Roman"/>
          <w:b/>
          <w:bCs/>
        </w:rPr>
        <w:t>Seminarplan: Kritische Sozialarbeit in der Postmigrationsgesellschaft</w:t>
      </w:r>
    </w:p>
    <w:p>
      <w:pPr>
        <w:rPr>
          <w:rFonts w:eastAsia="Times New Roman"/>
        </w:rPr>
      </w:pPr>
      <w:r>
        <w:rPr>
          <w:rFonts w:eastAsia="Times New Roman"/>
        </w:rPr>
      </w:r>
    </w:p>
    <w:p>
      <w:pPr>
        <w:rPr>
          <w:rFonts w:eastAsia="Times New Roman"/>
        </w:rPr>
      </w:pPr>
      <w:r>
        <w:rPr>
          <w:rFonts w:eastAsia="Times New Roman"/>
        </w:rPr>
        <w:t>Dozent: Simon Oschwald, MA</w:t>
      </w:r>
    </w:p>
    <w:p>
      <w:pPr>
        <w:rPr>
          <w:rFonts w:eastAsia="Times New Roman"/>
        </w:rPr>
      </w:pPr>
      <w:r>
        <w:rPr>
          <w:rFonts w:eastAsia="Times New Roman"/>
        </w:rPr>
      </w:r>
    </w:p>
    <w:tbl>
      <w:tblPr>
        <w:tblStyle w:val="TableGrid"/>
        <w:name w:val="Tabelle1"/>
        <w:tabOrder w:val="0"/>
        <w:jc w:val="left"/>
        <w:tblInd w:w="0" w:type="dxa"/>
        <w:tblW w:w="14557" w:type="dxa"/>
        <w:tblLook w:val="04A0" w:firstRow="1" w:lastRow="0" w:firstColumn="1" w:lastColumn="0" w:noHBand="0" w:noVBand="1"/>
      </w:tblPr>
      <w:tblGrid>
        <w:gridCol w:w="2040"/>
        <w:gridCol w:w="8947"/>
        <w:gridCol w:w="3570"/>
      </w:tblGrid>
      <w:tr>
        <w:trPr>
          <w:tblHeader w:val="0"/>
          <w:cantSplit w:val="0"/>
          <w:trHeight w:val="0" w:hRule="auto"/>
        </w:trPr>
        <w:tc>
          <w:tcPr>
            <w:tcW w:w="2040" w:type="dxa"/>
            <w:tmTcPr id="1648099955" protected="0"/>
          </w:tcPr>
          <w:p>
            <w:pPr>
              <w:rPr>
                <w:rFonts w:eastAsia="Times New Roman"/>
              </w:rPr>
            </w:pPr>
            <w:r>
              <w:rPr>
                <w:rFonts w:eastAsia="Times New Roman"/>
              </w:rPr>
              <w:t>Datum</w:t>
            </w:r>
          </w:p>
        </w:tc>
        <w:tc>
          <w:tcPr>
            <w:tcW w:w="8947" w:type="dxa"/>
            <w:tmTcPr id="1648099955" protected="0"/>
          </w:tcPr>
          <w:p>
            <w:pPr>
              <w:rPr>
                <w:rFonts w:eastAsia="Times New Roman"/>
              </w:rPr>
            </w:pPr>
            <w:r>
              <w:rPr>
                <w:rFonts w:eastAsia="Times New Roman"/>
              </w:rPr>
              <w:t>Texte</w:t>
            </w:r>
          </w:p>
        </w:tc>
        <w:tc>
          <w:tcPr>
            <w:tcW w:w="3570" w:type="dxa"/>
            <w:tmTcPr id="1648099955" protected="0"/>
          </w:tcPr>
          <w:p>
            <w:pPr>
              <w:rPr>
                <w:rFonts w:eastAsia="Times New Roman"/>
              </w:rPr>
            </w:pPr>
            <w:r>
              <w:rPr>
                <w:rFonts w:eastAsia="Times New Roman"/>
              </w:rPr>
              <w:t>Aufgaben</w:t>
            </w:r>
          </w:p>
        </w:tc>
      </w:tr>
      <w:tr>
        <w:trPr>
          <w:tblHeader w:val="0"/>
          <w:cantSplit w:val="0"/>
          <w:trHeight w:val="0" w:hRule="auto"/>
        </w:trPr>
        <w:tc>
          <w:tcPr>
            <w:tcW w:w="2040" w:type="dxa"/>
            <w:tmTcPr id="1648099955" protected="0"/>
          </w:tcPr>
          <w:p>
            <w:pPr>
              <w:rPr>
                <w:rFonts w:eastAsia="Times New Roman"/>
              </w:rPr>
            </w:pPr>
            <w:r>
              <w:rPr>
                <w:rFonts w:eastAsia="Times New Roman"/>
              </w:rPr>
              <w:t>24.03.2022</w:t>
            </w:r>
          </w:p>
        </w:tc>
        <w:tc>
          <w:tcPr>
            <w:tcW w:w="8947" w:type="dxa"/>
            <w:tmTcPr id="1648099955" protected="0"/>
          </w:tcPr>
          <w:p>
            <w:pPr>
              <w:rPr>
                <w:rFonts w:eastAsia="Times New Roman"/>
                <w:b/>
                <w:bCs/>
              </w:rPr>
            </w:pPr>
            <w:r>
              <w:rPr>
                <w:rFonts w:eastAsia="Times New Roman"/>
                <w:b/>
                <w:bCs/>
              </w:rPr>
              <w:t>Einführung ins Seminar, Aufgabenverteilung, Vorstellungsrunde</w:t>
            </w:r>
          </w:p>
          <w:p>
            <w:pPr>
              <w:rPr>
                <w:rFonts w:eastAsia="Times New Roman"/>
              </w:rPr>
            </w:pPr>
            <w:r>
              <w:rPr>
                <w:rFonts w:eastAsia="Times New Roman"/>
              </w:rPr>
            </w:r>
          </w:p>
          <w:p>
            <w:pPr>
              <w:rPr>
                <w:rFonts w:eastAsia="Times New Roman"/>
              </w:rPr>
            </w:pPr>
            <w:r>
              <w:rPr>
                <w:rFonts w:eastAsia="Times New Roman"/>
              </w:rPr>
              <w:t xml:space="preserve">Klein-AG zu den Themen: Warum studiere ich Soziale Arbeit? Welche kritischen und gesellschaftlichen Fragen stellen wir uns? Was ist mir an kritischen Positionen bereits begegnet. Was unterscheidet die Soziale Arbeit von anderen „helfenden“ Professionen? </w:t>
            </w:r>
          </w:p>
        </w:tc>
        <w:tc>
          <w:tcPr>
            <w:tcW w:w="3570" w:type="dxa"/>
            <w:tmTcPr id="1648099955" protected="0"/>
          </w:tcPr>
          <w:p>
            <w:pPr>
              <w:rPr>
                <w:rFonts w:eastAsia="Times New Roman"/>
              </w:rPr>
            </w:pPr>
            <w:r>
              <w:rPr>
                <w:rFonts w:eastAsia="Times New Roman"/>
              </w:rPr>
            </w:r>
          </w:p>
        </w:tc>
      </w:tr>
      <w:tr>
        <w:trPr>
          <w:tblHeader w:val="0"/>
          <w:cantSplit w:val="0"/>
          <w:trHeight w:val="0" w:hRule="auto"/>
        </w:trPr>
        <w:tc>
          <w:tcPr>
            <w:tcW w:w="2040" w:type="dxa"/>
            <w:tmTcPr id="1648099955" protected="0"/>
          </w:tcPr>
          <w:p>
            <w:pPr>
              <w:rPr>
                <w:rFonts w:eastAsia="Times New Roman"/>
              </w:rPr>
            </w:pPr>
            <w:r>
              <w:rPr>
                <w:rFonts w:eastAsia="Times New Roman"/>
              </w:rPr>
              <w:t>21.04.2022</w:t>
            </w:r>
          </w:p>
        </w:tc>
        <w:tc>
          <w:tcPr>
            <w:tcW w:w="894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8099955" protected="0"/>
          </w:tcPr>
          <w:p>
            <w:pPr>
              <w:rPr>
                <w:rFonts w:eastAsia="Times New Roman"/>
                <w:b/>
                <w:bCs/>
              </w:rPr>
            </w:pPr>
            <w:r>
              <w:rPr>
                <w:rFonts w:eastAsia="Times New Roman"/>
                <w:b/>
                <w:bCs/>
              </w:rPr>
              <w:t>„Der lange Sommer der Migration“ oder „2015 darf sich nicht wiederholen“.</w:t>
            </w:r>
          </w:p>
          <w:p>
            <w:pPr>
              <w:rPr>
                <w:rFonts w:eastAsia="Times New Roman"/>
              </w:rPr>
            </w:pPr>
            <w:r>
              <w:rPr>
                <w:rFonts w:eastAsia="Times New Roman"/>
              </w:rPr>
            </w:r>
          </w:p>
          <w:p>
            <w:pPr>
              <w:rPr>
                <w:rFonts w:eastAsia="Times New Roman"/>
              </w:rPr>
            </w:pPr>
            <w:r>
              <w:rPr>
                <w:rFonts w:eastAsia="Times New Roman"/>
              </w:rPr>
              <w:t>* Text 1: Hess et al (2018): Der Lange Sommer der Migration. Krise, Rekonstituion und Ungewisse Zukunft des Europäischen Grenzregimes. In Hess et al (Hrsg.). Der Lange Sommer der Migration. Grenzregime III, Assoziation A, Berlin und Hamburg. S. 6 - 24.</w:t>
            </w:r>
          </w:p>
          <w:p>
            <w:pPr>
              <w:rPr>
                <w:rFonts w:eastAsia="Times New Roman"/>
              </w:rPr>
            </w:pPr>
            <w:r>
              <w:rPr>
                <w:rFonts w:eastAsia="Times New Roman"/>
              </w:rPr>
              <w:t>* Text 2: Junginger B (2022): Droht Europa die nächste Flüchtlingswelle. In Augsburger Allgemeine 11.02.22</w:t>
            </w:r>
          </w:p>
          <w:p>
            <w:pPr>
              <w:rPr>
                <w:rFonts w:eastAsia="Times New Roman"/>
              </w:rPr>
            </w:pPr>
            <w:r>
              <w:rPr>
                <w:rFonts w:eastAsia="Times New Roman"/>
              </w:rPr>
              <w:t>* Text 3: Wais. R. (2022): Die Schleuser warten schon. In: Augsburger Allgemeine 11.02.2022</w:t>
            </w:r>
          </w:p>
          <w:p>
            <w:pPr>
              <w:rPr>
                <w:rFonts w:eastAsia="Times New Roman"/>
              </w:rPr>
            </w:pPr>
            <w:r>
              <w:rPr>
                <w:rFonts w:eastAsia="Times New Roman"/>
              </w:rPr>
            </w:r>
          </w:p>
          <w:p>
            <w:pPr>
              <w:rPr>
                <w:rFonts w:eastAsia="Times New Roman"/>
              </w:rPr>
            </w:pPr>
            <w:r>
              <w:rPr>
                <w:rFonts w:eastAsia="Times New Roman"/>
              </w:rPr>
              <w:t>Anschließend Diskussion/ Arbeitsgruppen: Im Lichte der aktuellen Entwicklungen und unter der Voraussetzung, dass das Asylrecht ein Menschenrecht ist. Wie bewerten Sie die beiden Positionen? Zu welchem Schluss kommen Sie?</w:t>
            </w:r>
          </w:p>
          <w:p>
            <w:pPr>
              <w:rPr>
                <w:rFonts w:eastAsia="Times New Roman"/>
              </w:rPr>
            </w:pPr>
            <w:r>
              <w:rPr>
                <w:rFonts w:eastAsia="Times New Roman"/>
              </w:rPr>
            </w:r>
          </w:p>
          <w:p>
            <w:pPr>
              <w:rPr>
                <w:rFonts w:eastAsia="Times New Roman"/>
              </w:rPr>
            </w:pPr>
            <w:r>
              <w:rPr>
                <w:rFonts w:eastAsia="Times New Roman"/>
              </w:rPr>
              <w:t xml:space="preserve">Teil 2 - Einführung in das Asyl- und Ausländerrecht mit Aufgaben der BIR für die Soziale Arbeit (eigener Vortrag) </w:t>
            </w:r>
          </w:p>
        </w:tc>
        <w:tc>
          <w:tcPr>
            <w:tcW w:w="3570" w:type="dxa"/>
            <w:tmTcPr id="1648099955" protected="0"/>
          </w:tcPr>
          <w:p>
            <w:pPr>
              <w:rPr>
                <w:rFonts w:eastAsia="Times New Roman"/>
              </w:rPr>
            </w:pPr>
            <w:r>
              <w:rPr>
                <w:rFonts w:eastAsia="Times New Roman"/>
              </w:rPr>
              <w:t>Texte vorbereiten, 3 Fragen entwickeln</w:t>
            </w:r>
          </w:p>
        </w:tc>
      </w:tr>
      <w:tr>
        <w:trPr>
          <w:tblHeader w:val="0"/>
          <w:cantSplit w:val="0"/>
          <w:trHeight w:val="0" w:hRule="auto"/>
        </w:trPr>
        <w:tc>
          <w:tcPr>
            <w:tcW w:w="2040" w:type="dxa"/>
            <w:tmTcPr id="1648099955" protected="0"/>
          </w:tcPr>
          <w:p>
            <w:pPr>
              <w:rPr>
                <w:rFonts w:eastAsia="Times New Roman"/>
              </w:rPr>
            </w:pPr>
            <w:r>
              <w:rPr>
                <w:rFonts w:eastAsia="Times New Roman"/>
              </w:rPr>
              <w:t>31.03.2022</w:t>
            </w:r>
          </w:p>
        </w:tc>
        <w:tc>
          <w:tcPr>
            <w:tcW w:w="8947" w:type="dxa"/>
            <w:tmTcPr id="1648099955" protected="0"/>
          </w:tcPr>
          <w:p>
            <w:pPr>
              <w:rPr>
                <w:rFonts w:eastAsia="Times New Roman"/>
                <w:b/>
                <w:bCs/>
              </w:rPr>
            </w:pPr>
            <w:r>
              <w:rPr>
                <w:rFonts w:eastAsia="Times New Roman"/>
                <w:b/>
                <w:bCs/>
              </w:rPr>
              <w:t>Kritische Auseinandersetzung mit den Vorhaben der aktuellen Bundesregierung</w:t>
            </w:r>
          </w:p>
          <w:p>
            <w:pPr>
              <w:rPr>
                <w:rFonts w:eastAsia="Times New Roman"/>
              </w:rPr>
            </w:pPr>
            <w:r>
              <w:rPr>
                <w:rFonts w:eastAsia="Times New Roman"/>
              </w:rPr>
            </w:r>
          </w:p>
          <w:p>
            <w:pPr>
              <w:rPr>
                <w:rFonts w:eastAsia="Times New Roman"/>
              </w:rPr>
            </w:pPr>
            <w:r>
              <w:rPr>
                <w:rFonts w:eastAsia="Times New Roman"/>
              </w:rPr>
              <w:t xml:space="preserve">* Text A: Bundesregierung (2021): Mehr Fortschritt wagen. Bündnis für Freiheit, Gerechtigkeit und Nachhaltigkeit. Darin: Integration, Migration, Flucht. S. 137-142. UR: </w:t>
            </w:r>
            <w:hyperlink r:id="rId7" w:history="1">
              <w:r>
                <w:rPr>
                  <w:rStyle w:val="char1"/>
                  <w:rFonts w:eastAsia="Times New Roman"/>
                </w:rPr>
                <w:t>https://www.bundesregierung.de/breg-de/service/gesetzesvorhaben/koalitionsvertrag-2021-1990800</w:t>
              </w:r>
            </w:hyperlink>
            <w:r>
              <w:rPr>
                <w:rFonts w:eastAsia="Times New Roman"/>
              </w:rPr>
              <w:t xml:space="preserve"> [20.03.2022].</w:t>
            </w:r>
            <w:r>
              <w:rPr>
                <w:rFonts w:eastAsia="Times New Roman"/>
              </w:rPr>
            </w:r>
          </w:p>
          <w:p>
            <w:pPr>
              <w:rPr>
                <w:rFonts w:eastAsia="Times New Roman"/>
              </w:rPr>
            </w:pPr>
            <w:r>
              <w:rPr>
                <w:rFonts w:eastAsia="Times New Roman"/>
              </w:rPr>
              <w:t>* Text B: Diakonie Deutschland (2021): Migrations- und asylpolitische Antwort auf die „Ampel“:</w:t>
              <w:br w:type="textWrapping"/>
              <w:t xml:space="preserve">Kommentierung zum Koalitionsvertrag 202. URL: </w:t>
            </w:r>
            <w:hyperlink r:id="rId8" w:history="1">
              <w:r>
                <w:rPr>
                  <w:rStyle w:val="char1"/>
                  <w:rFonts w:eastAsia="Times New Roman"/>
                </w:rPr>
                <w:t>https://www.diakonie.de/fileadmin/user_upload/Diakonie/PDFs/Stellungnahmen_PDF/Migrationspolitische_Kommentierung_Koalitionsvertrag_2021_final_28jan.pdf</w:t>
              </w:r>
            </w:hyperlink>
            <w:r>
              <w:rPr>
                <w:rFonts w:eastAsia="Times New Roman"/>
              </w:rPr>
              <w:t xml:space="preserve"> [20.03.2022].</w:t>
            </w:r>
            <w:r>
              <w:rPr>
                <w:rFonts w:eastAsia="Times New Roman"/>
              </w:rPr>
            </w:r>
          </w:p>
          <w:p>
            <w:pPr>
              <w:rPr>
                <w:rFonts w:eastAsia="Times New Roman"/>
              </w:rPr>
            </w:pPr>
            <w:r>
              <w:rPr>
                <w:rFonts w:eastAsia="Times New Roman"/>
              </w:rPr>
              <w:t xml:space="preserve">* Text C: Pro Asyl (2021): Koalitionsvertrag 2021–2025: Wichtige Erfolge, aber auch gravierende Lücken. URL: </w:t>
            </w:r>
            <w:hyperlink r:id="rId9" w:history="1">
              <w:r>
                <w:rPr>
                  <w:rStyle w:val="char1"/>
                  <w:rFonts w:eastAsia="Times New Roman"/>
                </w:rPr>
                <w:t>https://www.proasyl.de/news/koalitionsvertrag-2021-2025-wichtige-erfolge-aber-auch-gravierende-luecken/</w:t>
              </w:r>
            </w:hyperlink>
            <w:r>
              <w:rPr>
                <w:rFonts w:eastAsia="Times New Roman"/>
              </w:rPr>
              <w:t xml:space="preserve"> [20.3.2022].</w:t>
            </w:r>
            <w:r>
              <w:rPr>
                <w:rFonts w:eastAsia="Times New Roman"/>
              </w:rPr>
            </w:r>
          </w:p>
          <w:p>
            <w:pPr>
              <w:rPr>
                <w:rFonts w:eastAsia="Times New Roman"/>
              </w:rPr>
            </w:pPr>
            <w:r>
              <w:rPr>
                <w:rFonts w:eastAsia="Times New Roman"/>
              </w:rPr>
            </w:r>
          </w:p>
          <w:p>
            <w:pPr>
              <w:rPr>
                <w:rFonts w:eastAsia="Times New Roman"/>
              </w:rPr>
            </w:pPr>
            <w:r>
              <w:rPr>
                <w:rFonts w:eastAsia="Times New Roman"/>
              </w:rPr>
              <w:t xml:space="preserve">Diskussion/ Arbeitsgruppen: Überzeugt sie der Koalitionsvertrag? Welche Vorschläge halten Sie für plausibel und machbar? Was überzeugt sie (nicht) an den migrationspolitischen Stellungnahmen? </w:t>
            </w:r>
          </w:p>
          <w:p>
            <w:pPr>
              <w:rPr>
                <w:rFonts w:eastAsia="Times New Roman"/>
              </w:rPr>
            </w:pPr>
            <w:r>
              <w:rPr>
                <w:rFonts w:eastAsia="Times New Roman"/>
              </w:rPr>
            </w:r>
          </w:p>
        </w:tc>
        <w:tc>
          <w:tcPr>
            <w:tcW w:w="3570" w:type="dxa"/>
            <w:tmTcPr id="1648099955" protected="0"/>
          </w:tcPr>
          <w:p>
            <w:pPr>
              <w:rPr>
                <w:rFonts w:eastAsia="Times New Roman"/>
              </w:rPr>
            </w:pPr>
            <w:r>
              <w:rPr>
                <w:rFonts w:eastAsia="Times New Roman"/>
              </w:rPr>
              <w:t>Texte vorbereiten, Unterschiede zwischen den Positionen herausarbeiten. Eigene Argumentation entwickeln</w:t>
            </w:r>
          </w:p>
        </w:tc>
      </w:tr>
      <w:tr>
        <w:trPr>
          <w:tblHeader w:val="0"/>
          <w:cantSplit w:val="0"/>
          <w:trHeight w:val="299" w:hRule="atLeast"/>
        </w:trPr>
        <w:tc>
          <w:tcPr>
            <w:tcW w:w="2040" w:type="dxa"/>
            <w:tmTcPr id="1648099955" protected="0"/>
          </w:tcPr>
          <w:p>
            <w:pPr>
              <w:rPr>
                <w:rFonts w:eastAsia="Times New Roman"/>
              </w:rPr>
            </w:pPr>
            <w:r>
              <w:rPr>
                <w:rFonts w:eastAsia="Times New Roman"/>
              </w:rPr>
              <w:t>05.05.2022</w:t>
            </w:r>
          </w:p>
        </w:tc>
        <w:tc>
          <w:tcPr>
            <w:tcW w:w="8947" w:type="dxa"/>
            <w:tmTcPr id="1648099955" protected="0"/>
          </w:tcPr>
          <w:p>
            <w:pPr>
              <w:rPr>
                <w:rFonts w:eastAsia="Times New Roman"/>
                <w:b/>
                <w:bCs/>
              </w:rPr>
            </w:pPr>
            <w:r>
              <w:rPr>
                <w:rFonts w:eastAsia="Times New Roman"/>
                <w:b/>
                <w:bCs/>
              </w:rPr>
              <w:t xml:space="preserve">Integration, Migration, Postmigration </w:t>
            </w:r>
          </w:p>
          <w:p>
            <w:pPr>
              <w:rPr>
                <w:rFonts w:eastAsia="Times New Roman"/>
              </w:rPr>
            </w:pPr>
            <w:r>
              <w:rPr>
                <w:rFonts w:eastAsia="Times New Roman"/>
              </w:rPr>
            </w:r>
          </w:p>
          <w:p>
            <w:pPr>
              <w:rPr>
                <w:rFonts w:eastAsia="Times New Roman"/>
              </w:rPr>
            </w:pPr>
            <w:r>
              <w:rPr>
                <w:rFonts w:eastAsia="Times New Roman"/>
              </w:rPr>
              <w:t xml:space="preserve">* Text A: Foroutan, Naika (2015): Die postmigrantische Gesellschaft. In: bpd.de. URL: </w:t>
            </w:r>
            <w:hyperlink r:id="rId10" w:history="1">
              <w:r>
                <w:rPr>
                  <w:rStyle w:val="char1"/>
                  <w:rFonts w:eastAsia="Times New Roman"/>
                </w:rPr>
                <w:t>https://www.bpb.de/themen/migration-integration/kurzdossiers/205190/die-postmigrantische-gesellschaft/</w:t>
              </w:r>
            </w:hyperlink>
            <w:r>
              <w:rPr>
                <w:rFonts w:eastAsia="Times New Roman"/>
              </w:rPr>
              <w:t xml:space="preserve"> [20.03.2022] </w:t>
            </w:r>
            <w:r>
              <w:rPr>
                <w:rFonts w:eastAsia="Times New Roman"/>
              </w:rPr>
            </w:r>
          </w:p>
          <w:p>
            <w:pPr>
              <w:rPr>
                <w:rFonts w:eastAsia="Times New Roman"/>
              </w:rPr>
            </w:pPr>
            <w:r>
              <w:rPr>
                <w:rFonts w:eastAsia="Times New Roman"/>
              </w:rPr>
            </w:r>
          </w:p>
          <w:p>
            <w:pPr>
              <w:rPr>
                <w:rFonts w:eastAsia="Times New Roman"/>
              </w:rPr>
            </w:pPr>
            <w:r>
              <w:rPr>
                <w:rFonts w:eastAsia="Times New Roman"/>
              </w:rPr>
              <w:t xml:space="preserve">* Text B: Mecheril, Paul (2004) Migrationspädagogik. Einführung in eine Perspektive. In : Einführung in die Migrationspädagogik, Beltz Verlag, Weinheim und Basel. S. 7 - 15. </w:t>
            </w:r>
          </w:p>
          <w:p>
            <w:pPr>
              <w:rPr>
                <w:rFonts w:eastAsia="Times New Roman"/>
              </w:rPr>
            </w:pPr>
            <w:r>
              <w:rPr>
                <w:rFonts w:eastAsia="Times New Roman"/>
              </w:rPr>
            </w:r>
          </w:p>
          <w:p>
            <w:pPr>
              <w:rPr>
                <w:rFonts w:eastAsia="Times New Roman"/>
              </w:rPr>
            </w:pPr>
            <w:r>
              <w:rPr>
                <w:rFonts w:eastAsia="Times New Roman"/>
              </w:rPr>
              <w:t>Diskussion/ Arbeitsgruppen: Warum braucht es eigentlich migrationsspezifische Soziale Arbeit? Inwiefern tragen wir zur Verfestigung des Bildes vom „migrantischen Anderen“ bei? Wie können wir im Alltag der Sozialen Arbeit dazu beitragen, das Integrationsparadigma zu überwinden? Oder müssen wir das überhaupt?</w:t>
            </w:r>
          </w:p>
          <w:p>
            <w:pPr>
              <w:rPr>
                <w:rFonts w:eastAsia="Times New Roman"/>
              </w:rPr>
            </w:pPr>
            <w:r>
              <w:rPr>
                <w:rFonts w:eastAsia="Times New Roman"/>
              </w:rPr>
            </w:r>
          </w:p>
        </w:tc>
        <w:tc>
          <w:tcPr>
            <w:tcW w:w="3570" w:type="dxa"/>
            <w:tmTcPr id="1648099955" protected="0"/>
          </w:tcPr>
          <w:p>
            <w:pPr>
              <w:rPr>
                <w:rFonts w:eastAsia="Times New Roman"/>
              </w:rPr>
            </w:pPr>
            <w:r>
              <w:rPr>
                <w:rFonts w:eastAsia="Times New Roman"/>
              </w:rPr>
              <w:t>Texte vorbereiten, eigenen Standpunkt entwickeln zu den Fragen der Diskussion.</w:t>
            </w:r>
          </w:p>
          <w:p>
            <w:pPr>
              <w:rPr>
                <w:rFonts w:eastAsia="Times New Roman"/>
              </w:rPr>
            </w:pPr>
            <w:r>
              <w:rPr>
                <w:rFonts w:eastAsia="Times New Roman"/>
              </w:rPr>
            </w:r>
          </w:p>
          <w:p>
            <w:pPr>
              <w:rPr>
                <w:rFonts w:eastAsia="Times New Roman"/>
              </w:rPr>
            </w:pPr>
            <w:r>
              <w:rPr>
                <w:rFonts w:eastAsia="Times New Roman"/>
              </w:rPr>
            </w:r>
          </w:p>
          <w:p>
            <w:pPr>
              <w:rPr>
                <w:rFonts w:eastAsia="Times New Roman"/>
              </w:rPr>
            </w:pPr>
            <w:r>
              <w:rPr>
                <w:rFonts w:eastAsia="Times New Roman"/>
              </w:rPr>
            </w:r>
          </w:p>
          <w:p>
            <w:pPr>
              <w:rPr>
                <w:rFonts w:eastAsia="Times New Roman"/>
              </w:rPr>
            </w:pPr>
            <w:r>
              <w:rPr>
                <w:rFonts w:eastAsia="Times New Roman"/>
              </w:rPr>
            </w:r>
          </w:p>
          <w:p>
            <w:pPr>
              <w:rPr>
                <w:rFonts w:eastAsia="Times New Roman"/>
              </w:rPr>
            </w:pPr>
            <w:r>
              <w:rPr>
                <w:rFonts w:eastAsia="Times New Roman"/>
              </w:rPr>
            </w:r>
          </w:p>
          <w:p>
            <w:pPr>
              <w:rPr>
                <w:rFonts w:eastAsia="Times New Roman"/>
              </w:rPr>
            </w:pPr>
            <w:r>
              <w:rPr>
                <w:rFonts w:eastAsia="Times New Roman"/>
              </w:rPr>
            </w:r>
          </w:p>
          <w:p>
            <w:pPr>
              <w:rPr>
                <w:rFonts w:eastAsia="Times New Roman"/>
              </w:rPr>
            </w:pPr>
            <w:r>
              <w:rPr>
                <w:rFonts w:eastAsia="Times New Roman"/>
              </w:rPr>
            </w:r>
          </w:p>
          <w:p>
            <w:pPr>
              <w:rPr>
                <w:rFonts w:eastAsia="Times New Roman"/>
              </w:rPr>
            </w:pPr>
            <w:r>
              <w:rPr>
                <w:rFonts w:eastAsia="Times New Roman"/>
              </w:rPr>
            </w:r>
          </w:p>
          <w:p>
            <w:pPr>
              <w:rPr>
                <w:rFonts w:eastAsia="Times New Roman"/>
              </w:rPr>
            </w:pPr>
            <w:r>
              <w:rPr>
                <w:rFonts w:eastAsia="Times New Roman"/>
              </w:rPr>
              <w:t xml:space="preserve">Erinnerung: Zitat von Foucault zur Vorbereitung einbringen. </w:t>
            </w:r>
          </w:p>
        </w:tc>
      </w:tr>
      <w:tr>
        <w:trPr>
          <w:tblHeader w:val="0"/>
          <w:cantSplit w:val="0"/>
          <w:trHeight w:val="0" w:hRule="auto"/>
        </w:trPr>
        <w:tc>
          <w:tcPr>
            <w:tcW w:w="2040" w:type="dxa"/>
            <w:tmTcPr id="1648099955" protected="0"/>
          </w:tcPr>
          <w:p>
            <w:pPr>
              <w:rPr>
                <w:rFonts w:eastAsia="Times New Roman"/>
              </w:rPr>
            </w:pPr>
            <w:r>
              <w:rPr>
                <w:rFonts w:eastAsia="Times New Roman"/>
              </w:rPr>
              <w:t>19.05.2022</w:t>
            </w:r>
          </w:p>
        </w:tc>
        <w:tc>
          <w:tcPr>
            <w:tcW w:w="8947" w:type="dxa"/>
            <w:shd w:val="none"/>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8099955" protected="0"/>
          </w:tcPr>
          <w:p>
            <w:pPr>
              <w:rPr>
                <w:rFonts w:eastAsia="Times New Roman"/>
                <w:b/>
                <w:bCs/>
              </w:rPr>
            </w:pPr>
            <w:r>
              <w:rPr>
                <w:rFonts w:eastAsia="Times New Roman"/>
                <w:b/>
                <w:bCs/>
              </w:rPr>
              <w:t>Was ist Kritik? - Wie positioniert sich die Soziale Arbeit?</w:t>
            </w:r>
          </w:p>
          <w:p>
            <w:pPr>
              <w:rPr>
                <w:rFonts w:eastAsia="Times New Roman"/>
              </w:rPr>
            </w:pPr>
            <w:r>
              <w:rPr>
                <w:rFonts w:eastAsia="Times New Roman"/>
              </w:rPr>
            </w:r>
          </w:p>
          <w:p>
            <w:pPr>
              <w:rPr>
                <w:rFonts w:eastAsia="Times New Roman"/>
              </w:rPr>
            </w:pPr>
            <w:r>
              <w:rPr>
                <w:rFonts w:eastAsia="Times New Roman"/>
              </w:rPr>
              <w:t xml:space="preserve">* Text A:  Castro Varela, Maria Do Mar (2018): „Das Leiden der Anderen betrachten“. Flucht, Solidarität und Postkoloniale Soziale Arbeit. In Bröse J., Faas S., Stauber S. (Hrsg.): Flucht. Herausforderungen für die Soziale Arbeit. Springer VS. Wiesbaden. S. 3 - 20. </w:t>
            </w:r>
          </w:p>
          <w:p>
            <w:pPr>
              <w:rPr>
                <w:rFonts w:eastAsia="Times New Roman"/>
              </w:rPr>
            </w:pPr>
            <w:r>
              <w:rPr>
                <w:rFonts w:eastAsia="Times New Roman"/>
              </w:rPr>
            </w:r>
          </w:p>
          <w:p>
            <w:pPr>
              <w:rPr>
                <w:rFonts w:eastAsia="Times New Roman"/>
              </w:rPr>
            </w:pPr>
            <w:r>
              <w:rPr>
                <w:rFonts w:eastAsia="Times New Roman"/>
              </w:rPr>
              <w:t xml:space="preserve">Diskussion/ Arbeitsgruppen: Zwischen den Stühlen! - Soziale Gerechtigkeit vs. Aufrechterhaltung der Ordnung. </w:t>
            </w:r>
          </w:p>
          <w:p>
            <w:pPr/>
            <w:r/>
          </w:p>
        </w:tc>
        <w:tc>
          <w:tcPr>
            <w:tcW w:w="3570" w:type="dxa"/>
            <w:tmTcPr id="1648099955" protected="0"/>
          </w:tcPr>
          <w:p>
            <w:pPr>
              <w:rPr>
                <w:rFonts w:eastAsia="Times New Roman"/>
              </w:rPr>
            </w:pPr>
            <w:r>
              <w:rPr>
                <w:rFonts w:eastAsia="Times New Roman"/>
              </w:rPr>
              <w:t xml:space="preserve">Text vorbereiten, drei Fragen entwickeln. </w:t>
            </w:r>
          </w:p>
          <w:p>
            <w:pPr>
              <w:rPr>
                <w:rFonts w:eastAsia="Times New Roman"/>
              </w:rPr>
            </w:pPr>
            <w:r>
              <w:rPr>
                <w:rFonts w:eastAsia="Times New Roman"/>
              </w:rPr>
              <w:t>Beschäftigen sich mit der Möglichkeit von Kritik! Was meint Foucault damit, sich nicht so oder so regieren zu lassen?</w:t>
            </w:r>
          </w:p>
        </w:tc>
      </w:tr>
      <w:tr>
        <w:trPr>
          <w:tblHeader w:val="0"/>
          <w:cantSplit w:val="0"/>
          <w:trHeight w:val="0" w:hRule="auto"/>
        </w:trPr>
        <w:tc>
          <w:tcPr>
            <w:tcW w:w="2040" w:type="dxa"/>
            <w:tmTcPr id="1648099955" protected="0"/>
          </w:tcPr>
          <w:p>
            <w:pPr>
              <w:rPr>
                <w:rFonts w:eastAsia="Times New Roman"/>
              </w:rPr>
            </w:pPr>
            <w:r>
              <w:rPr>
                <w:rFonts w:eastAsia="Times New Roman"/>
              </w:rPr>
              <w:t>09.06.2022</w:t>
            </w:r>
          </w:p>
        </w:tc>
        <w:tc>
          <w:tcPr>
            <w:tcW w:w="8947" w:type="dxa"/>
            <w:tmTcPr id="1648099955" protected="0"/>
          </w:tcPr>
          <w:p>
            <w:pPr>
              <w:rPr>
                <w:rFonts w:eastAsia="Times New Roman"/>
                <w:b/>
                <w:bCs/>
              </w:rPr>
            </w:pPr>
            <w:r>
              <w:rPr>
                <w:rFonts w:eastAsia="Times New Roman"/>
                <w:b/>
                <w:bCs/>
              </w:rPr>
              <w:t>Diskussion: Möglichkeiten der Einflussnahme? -  Wie weit geht unser Mandat?</w:t>
            </w:r>
          </w:p>
          <w:p>
            <w:pPr>
              <w:rPr>
                <w:rFonts w:eastAsia="Times New Roman"/>
              </w:rPr>
            </w:pPr>
            <w:r>
              <w:rPr>
                <w:rFonts w:eastAsia="Times New Roman"/>
              </w:rPr>
            </w:r>
          </w:p>
          <w:p>
            <w:pPr>
              <w:rPr>
                <w:rFonts w:eastAsia="Times New Roman"/>
              </w:rPr>
            </w:pPr>
            <w:r>
              <w:rPr>
                <w:rFonts w:eastAsia="Times New Roman"/>
              </w:rPr>
              <w:t xml:space="preserve">* Text A: Lutz, Ronald (2021) Krise und jetzt? Was passiert mit der Sozialen Arbeit nach Pandemie und Klimawandel In: Forum Sozial 04/2021. </w:t>
            </w:r>
          </w:p>
          <w:p>
            <w:pPr>
              <w:rPr>
                <w:rFonts w:eastAsia="Times New Roman"/>
              </w:rPr>
            </w:pPr>
            <w:r>
              <w:rPr>
                <w:rFonts w:eastAsia="Times New Roman"/>
              </w:rPr>
              <w:t xml:space="preserve">* Text B: Blank, Beate (2018): Empowerment. Ein Leitkonzept der Sozialen Arbeit in der Migrationsgesellschaft? In: Blank B. et al. (Hrsg.) Soziale Arbeit in der Migrationsgesellschaft. Grundlagen, Konzepte, Handlungsfelder. Springer VS; Wiesbaden, S. 327-340. </w:t>
            </w:r>
          </w:p>
          <w:p>
            <w:pPr/>
            <w:r/>
          </w:p>
        </w:tc>
        <w:tc>
          <w:tcPr>
            <w:tcW w:w="3570" w:type="dxa"/>
            <w:tmTcPr id="1648099955" protected="0"/>
          </w:tcPr>
          <w:p>
            <w:pPr>
              <w:rPr>
                <w:rFonts w:eastAsia="Times New Roman"/>
              </w:rPr>
            </w:pPr>
            <w:r>
              <w:rPr>
                <w:rFonts w:eastAsia="Times New Roman"/>
              </w:rPr>
              <w:t xml:space="preserve">Texte vorbereiten, 3 Fragen entwickeln. </w:t>
            </w:r>
          </w:p>
        </w:tc>
      </w:tr>
    </w:tbl>
    <w:p>
      <w:pPr>
        <w:pStyle w:val="para4"/>
        <w:spacing w:after="198" w:afterAutospacing="0"/>
        <w:rPr>
          <w:color w:val="000000"/>
          <w:sz w:val="20"/>
          <w:szCs w:val="20"/>
        </w:rPr>
      </w:pPr>
      <w:r>
        <w:rPr>
          <w:color w:val="000000"/>
          <w:sz w:val="20"/>
          <w:szCs w:val="20"/>
        </w:rPr>
      </w:r>
    </w:p>
    <w:sectPr>
      <w:footnotePr>
        <w:pos w:val="pageBottom"/>
        <w:numFmt w:val="decimal"/>
        <w:numStart w:val="1"/>
        <w:numRestart w:val="continuous"/>
      </w:footnotePr>
      <w:endnotePr>
        <w:pos w:val="docEnd"/>
        <w:numFmt w:val="decimal"/>
        <w:numStart w:val="1"/>
        <w:numRestart w:val="continuous"/>
      </w:endnotePr>
      <w:type w:val="continuous"/>
      <w:pgSz w:h="11907" w:w="16839" w:orient="landscape"/>
      <w:pgMar w:left="1134" w:top="1134" w:right="1134"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Light">
    <w:panose1 w:val="020F0302020204030204"/>
    <w:charset w:val="00"/>
    <w:family w:val="swiss"/>
    <w:pitch w:val="default"/>
  </w:font>
  <w:font w:name="Courier New">
    <w:panose1 w:val="02070309020205020404"/>
    <w:charset w:val="00"/>
    <w:family w:val="modern"/>
    <w:pitch w:val="default"/>
  </w:font>
  <w:font w:name="time">
    <w:panose1 w:val="020B0604020202020204"/>
    <w:charset w:val="00"/>
    <w:family w:val="auto"/>
    <w:pitch w:val="default"/>
  </w:font>
  <w:font w:name="Calibri">
    <w:panose1 w:val="020F05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0"/>
      <w:tmLastPosIdx w:val="24"/>
    </w:tmLastPosCaret>
    <w:tmLastPosAnchor>
      <w:tmLastPosPgfIdx w:val="0"/>
      <w:tmLastPosIdx w:val="0"/>
    </w:tmLastPosAnchor>
    <w:tmLastPosTblRect w:left="0" w:top="0" w:right="0" w:bottom="0"/>
  </w:tmLastPos>
  <w:tmAppRevision w:date="1648099955"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Normal (Web)"/>
    <w:qFormat/>
    <w:basedOn w:val="para0"/>
    <w:pPr>
      <w:spacing w:before="100" w:after="100" w:beforeAutospacing="1" w:afterAutospacing="1"/>
      <w:widowControl/>
    </w:pPr>
    <w:rPr>
      <w:rFonts w:eastAsia="Times New Roman"/>
      <w:sz w:val="24"/>
      <w:szCs w:val="24"/>
    </w:rPr>
  </w:style>
  <w:style w:type="paragraph" w:styleId="para5">
    <w:name w:val="Comment Text"/>
    <w:qFormat/>
    <w:basedOn w:val="para0"/>
  </w:style>
  <w:style w:type="paragraph" w:styleId="para6">
    <w:name w:val="Comment Subject"/>
    <w:qFormat/>
    <w:basedOn w:val="para5"/>
    <w:next w:val="para5"/>
    <w:rPr>
      <w:b/>
      <w:bCs/>
    </w:rPr>
  </w:style>
  <w:style w:type="character" w:styleId="char0" w:default="1">
    <w:name w:val="Default Paragraph Font"/>
  </w:style>
  <w:style w:type="character" w:styleId="char1">
    <w:name w:val="Hyperlink"/>
    <w:rPr>
      <w:color w:val="0000ff"/>
      <w:u w:color="auto" w:val="single"/>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elle mit Gitter"/>
    <w:basedOn w:val="TableNormal"/>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de-de"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Normal (Web)"/>
    <w:qFormat/>
    <w:basedOn w:val="para0"/>
    <w:pPr>
      <w:spacing w:before="100" w:after="100" w:beforeAutospacing="1" w:afterAutospacing="1"/>
      <w:widowControl/>
    </w:pPr>
    <w:rPr>
      <w:rFonts w:eastAsia="Times New Roman"/>
      <w:sz w:val="24"/>
      <w:szCs w:val="24"/>
    </w:rPr>
  </w:style>
  <w:style w:type="paragraph" w:styleId="para5">
    <w:name w:val="Comment Text"/>
    <w:qFormat/>
    <w:basedOn w:val="para0"/>
  </w:style>
  <w:style w:type="paragraph" w:styleId="para6">
    <w:name w:val="Comment Subject"/>
    <w:qFormat/>
    <w:basedOn w:val="para5"/>
    <w:next w:val="para5"/>
    <w:rPr>
      <w:b/>
      <w:bCs/>
    </w:rPr>
  </w:style>
  <w:style w:type="character" w:styleId="char0" w:default="1">
    <w:name w:val="Default Paragraph Font"/>
  </w:style>
  <w:style w:type="character" w:styleId="char1">
    <w:name w:val="Hyperlink"/>
    <w:rPr>
      <w:color w:val="0000ff"/>
      <w:u w:color="auto" w:val="single"/>
    </w:rPr>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elle mit Gitter"/>
    <w:basedOn w:val="TableNormal"/>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s://www.bundesregierung.de/breg-de/service/gesetzesvorhaben/koalitionsvertrag-2021-1990800" TargetMode="External"/><Relationship Id="rId8" Type="http://schemas.openxmlformats.org/officeDocument/2006/relationships/hyperlink" Target="https://www.diakonie.de/fileadmin/user_upload/Diakonie/PDFs/Stellungnahmen_PDF/Migrationspolitische_Kommentierung_Koalitionsvertrag_2021_final_28jan.pdf" TargetMode="External"/><Relationship Id="rId9" Type="http://schemas.openxmlformats.org/officeDocument/2006/relationships/hyperlink" Target="https://www.proasyl.de/news/koalitionsvertrag-2021-2025-wichtige-erfolge-aber-auch-gravierende-luecken/" TargetMode="External"/><Relationship Id="rId10" Type="http://schemas.openxmlformats.org/officeDocument/2006/relationships/hyperlink" Target="https://www.bpb.de/themen/migration-integration/kurzdossiers/205190/die-postmigrantische-gesellsch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Simon</cp:lastModifiedBy>
  <cp:revision>3</cp:revision>
  <dcterms:created xsi:type="dcterms:W3CDTF">2022-03-01T09:30:54Z</dcterms:created>
  <dcterms:modified xsi:type="dcterms:W3CDTF">2022-03-24T05:32:35Z</dcterms:modified>
</cp:coreProperties>
</file>